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ADAD" w:themeColor="background2" w:themeShade="BF"/>
  <w:body>
    <w:p w14:paraId="0C94D8FA" w14:textId="77777777" w:rsidR="00C6713A" w:rsidRDefault="000375EC" w:rsidP="002D71D2">
      <w:pPr>
        <w:pStyle w:val="Heading1"/>
        <w:jc w:val="center"/>
        <w:rPr>
          <w:rFonts w:ascii="Aptos" w:eastAsia="Times New Roman" w:hAnsi="Aptos"/>
          <w:color w:val="000000"/>
          <w:sz w:val="72"/>
          <w:szCs w:val="72"/>
        </w:rPr>
      </w:pPr>
      <w:r>
        <w:rPr>
          <w:rFonts w:ascii="Aptos" w:eastAsia="Times New Roman" w:hAnsi="Aptos"/>
          <w:noProof/>
          <w:color w:val="000000"/>
          <w:sz w:val="72"/>
          <w:szCs w:val="72"/>
        </w:rPr>
        <w:drawing>
          <wp:anchor distT="0" distB="0" distL="114300" distR="114300" simplePos="0" relativeHeight="251658241" behindDoc="1" locked="0" layoutInCell="1" allowOverlap="1" wp14:anchorId="416DB548" wp14:editId="6BC21C67">
            <wp:simplePos x="0" y="0"/>
            <wp:positionH relativeFrom="character">
              <wp:align>center</wp:align>
            </wp:positionH>
            <wp:positionV relativeFrom="page">
              <wp:posOffset>0</wp:posOffset>
            </wp:positionV>
            <wp:extent cx="2212848" cy="2093976"/>
            <wp:effectExtent l="0" t="0" r="0" b="1905"/>
            <wp:wrapNone/>
            <wp:docPr id="1198399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99272" name="Picture 1198399272"/>
                    <pic:cNvPicPr/>
                  </pic:nvPicPr>
                  <pic:blipFill>
                    <a:blip r:embed="rId7">
                      <a:extLst>
                        <a:ext uri="{28A0092B-C50C-407E-A947-70E740481C1C}">
                          <a14:useLocalDpi xmlns:a14="http://schemas.microsoft.com/office/drawing/2010/main" val="0"/>
                        </a:ext>
                      </a:extLst>
                    </a:blip>
                    <a:stretch>
                      <a:fillRect/>
                    </a:stretch>
                  </pic:blipFill>
                  <pic:spPr>
                    <a:xfrm>
                      <a:off x="0" y="0"/>
                      <a:ext cx="2212848" cy="2093976"/>
                    </a:xfrm>
                    <a:prstGeom prst="rect">
                      <a:avLst/>
                    </a:prstGeom>
                  </pic:spPr>
                </pic:pic>
              </a:graphicData>
            </a:graphic>
            <wp14:sizeRelH relativeFrom="margin">
              <wp14:pctWidth>0</wp14:pctWidth>
            </wp14:sizeRelH>
            <wp14:sizeRelV relativeFrom="margin">
              <wp14:pctHeight>0</wp14:pctHeight>
            </wp14:sizeRelV>
          </wp:anchor>
        </w:drawing>
      </w:r>
      <w:r w:rsidR="00C6713A">
        <w:rPr>
          <w:rFonts w:ascii="Aptos" w:eastAsia="Times New Roman" w:hAnsi="Aptos"/>
          <w:color w:val="000000"/>
          <w:sz w:val="72"/>
          <w:szCs w:val="72"/>
        </w:rPr>
        <w:t xml:space="preserve">     </w:t>
      </w:r>
    </w:p>
    <w:p w14:paraId="0F960FAA" w14:textId="287541E1" w:rsidR="006F4253" w:rsidRPr="00C4723A" w:rsidRDefault="00443429" w:rsidP="002D71D2">
      <w:pPr>
        <w:pStyle w:val="Heading1"/>
        <w:jc w:val="center"/>
        <w:rPr>
          <w:rStyle w:val="IntenseReference"/>
        </w:rPr>
      </w:pPr>
      <w:r>
        <w:rPr>
          <w:rStyle w:val="IntenseReference"/>
        </w:rPr>
        <w:t>JCML HOLDING</w:t>
      </w:r>
      <w:r w:rsidR="0013517B">
        <w:rPr>
          <w:rStyle w:val="IntenseReference"/>
        </w:rPr>
        <w:t xml:space="preserve"> LLC.</w:t>
      </w:r>
      <w:r w:rsidR="00F56AFB">
        <w:rPr>
          <w:rStyle w:val="IntenseReference"/>
        </w:rPr>
        <w:t xml:space="preserve"> </w:t>
      </w:r>
      <w:r w:rsidR="00A417EF" w:rsidRPr="00C4723A">
        <w:rPr>
          <w:rStyle w:val="IntenseReference"/>
        </w:rPr>
        <w:t>NEWS</w:t>
      </w:r>
      <w:r w:rsidR="00613C82" w:rsidRPr="00C4723A">
        <w:rPr>
          <w:rStyle w:val="IntenseReference"/>
        </w:rPr>
        <w:t>LETTER</w:t>
      </w:r>
      <w:r w:rsidR="00F56AFB">
        <w:rPr>
          <w:rStyle w:val="IntenseReference"/>
        </w:rPr>
        <w:t xml:space="preserve"> #1</w:t>
      </w:r>
    </w:p>
    <w:p w14:paraId="2B7478D4" w14:textId="242110AA" w:rsidR="00D97434" w:rsidRPr="00745F5A" w:rsidRDefault="004F7EE3" w:rsidP="002D71D2">
      <w:pPr>
        <w:pStyle w:val="Heading1"/>
        <w:jc w:val="center"/>
        <w:rPr>
          <w:rFonts w:ascii="Agency FB" w:eastAsia="Times New Roman" w:hAnsi="Agency FB"/>
          <w:b w:val="0"/>
          <w:bCs w:val="0"/>
          <w:i/>
          <w:iCs/>
          <w:color w:val="000000"/>
        </w:rPr>
      </w:pPr>
      <w:r w:rsidRPr="00745F5A">
        <w:rPr>
          <w:rFonts w:ascii="Agency FB" w:eastAsia="Times New Roman" w:hAnsi="Agency FB"/>
          <w:b w:val="0"/>
          <w:bCs w:val="0"/>
          <w:i/>
          <w:iCs/>
          <w:color w:val="000000"/>
        </w:rPr>
        <w:t>January</w:t>
      </w:r>
      <w:r w:rsidR="00885EDB" w:rsidRPr="00745F5A">
        <w:rPr>
          <w:rFonts w:ascii="Agency FB" w:eastAsia="Times New Roman" w:hAnsi="Agency FB"/>
          <w:b w:val="0"/>
          <w:bCs w:val="0"/>
          <w:i/>
          <w:iCs/>
          <w:color w:val="000000"/>
        </w:rPr>
        <w:t xml:space="preserve"> </w:t>
      </w:r>
      <w:r w:rsidR="000C1F73" w:rsidRPr="00745F5A">
        <w:rPr>
          <w:rFonts w:ascii="Agency FB" w:eastAsia="Times New Roman" w:hAnsi="Agency FB"/>
          <w:b w:val="0"/>
          <w:bCs w:val="0"/>
          <w:i/>
          <w:iCs/>
          <w:color w:val="000000"/>
        </w:rPr>
        <w:t>23</w:t>
      </w:r>
      <w:r w:rsidR="00601839" w:rsidRPr="00745F5A">
        <w:rPr>
          <w:rFonts w:ascii="Agency FB" w:eastAsia="Times New Roman" w:hAnsi="Agency FB"/>
          <w:b w:val="0"/>
          <w:bCs w:val="0"/>
          <w:i/>
          <w:iCs/>
          <w:color w:val="000000"/>
        </w:rPr>
        <w:t xml:space="preserve"> </w:t>
      </w:r>
      <w:r w:rsidR="00055030" w:rsidRPr="00745F5A">
        <w:rPr>
          <w:rFonts w:ascii="Agency FB" w:eastAsia="Times New Roman" w:hAnsi="Agency FB"/>
          <w:b w:val="0"/>
          <w:bCs w:val="0"/>
          <w:i/>
          <w:iCs/>
          <w:color w:val="000000"/>
        </w:rPr>
        <w:t>–</w:t>
      </w:r>
      <w:r w:rsidR="00601839" w:rsidRPr="00745F5A">
        <w:rPr>
          <w:rFonts w:ascii="Agency FB" w:eastAsia="Times New Roman" w:hAnsi="Agency FB"/>
          <w:b w:val="0"/>
          <w:bCs w:val="0"/>
          <w:i/>
          <w:iCs/>
          <w:color w:val="000000"/>
        </w:rPr>
        <w:t xml:space="preserve"> </w:t>
      </w:r>
      <w:r w:rsidR="00AB5DA4" w:rsidRPr="00745F5A">
        <w:rPr>
          <w:rFonts w:ascii="Agency FB" w:eastAsia="Times New Roman" w:hAnsi="Agency FB"/>
          <w:b w:val="0"/>
          <w:bCs w:val="0"/>
          <w:i/>
          <w:iCs/>
          <w:color w:val="000000"/>
        </w:rPr>
        <w:t>30</w:t>
      </w:r>
      <w:r w:rsidR="0073583B" w:rsidRPr="00745F5A">
        <w:rPr>
          <w:rFonts w:ascii="Agency FB" w:eastAsia="Times New Roman" w:hAnsi="Agency FB"/>
          <w:b w:val="0"/>
          <w:bCs w:val="0"/>
          <w:i/>
          <w:iCs/>
          <w:color w:val="000000"/>
        </w:rPr>
        <w:t>,</w:t>
      </w:r>
      <w:r w:rsidR="00055030" w:rsidRPr="00745F5A">
        <w:rPr>
          <w:rFonts w:ascii="Agency FB" w:eastAsia="Times New Roman" w:hAnsi="Agency FB"/>
          <w:b w:val="0"/>
          <w:bCs w:val="0"/>
          <w:i/>
          <w:iCs/>
          <w:color w:val="000000"/>
        </w:rPr>
        <w:t xml:space="preserve"> </w:t>
      </w:r>
    </w:p>
    <w:p w14:paraId="59AE92B7" w14:textId="77777777" w:rsidR="00114D0F" w:rsidRDefault="00B70A8F" w:rsidP="00114D0F">
      <w:pPr>
        <w:pStyle w:val="Heading1"/>
        <w:jc w:val="center"/>
        <w:rPr>
          <w:rFonts w:ascii="Agency FB" w:eastAsia="Times New Roman" w:hAnsi="Agency FB"/>
          <w:b w:val="0"/>
          <w:bCs w:val="0"/>
          <w:i/>
          <w:iCs/>
          <w:color w:val="000000"/>
        </w:rPr>
      </w:pPr>
      <w:r w:rsidRPr="00745F5A">
        <w:rPr>
          <w:rFonts w:ascii="Agency FB" w:eastAsia="Times New Roman" w:hAnsi="Agency FB"/>
          <w:b w:val="0"/>
          <w:bCs w:val="0"/>
          <w:i/>
          <w:iCs/>
          <w:color w:val="000000"/>
        </w:rPr>
        <w:t>2026</w:t>
      </w:r>
    </w:p>
    <w:p w14:paraId="6EBD6995" w14:textId="1532FC70" w:rsidR="00C15F85" w:rsidRDefault="00CC0636" w:rsidP="07DEDF37">
      <w:pPr>
        <w:pStyle w:val="Heading1"/>
        <w:jc w:val="center"/>
        <w:rPr>
          <w:rFonts w:ascii="Aptos" w:eastAsia="Times New Roman" w:hAnsi="Aptos"/>
          <w:color w:val="000000" w:themeColor="text1"/>
        </w:rPr>
      </w:pPr>
      <w:r>
        <w:drawing>
          <wp:inline distT="0" distB="0" distL="0" distR="0" wp14:anchorId="131AEEE4" wp14:editId="0157814D">
            <wp:extent cx="8047990" cy="5772150"/>
            <wp:effectExtent l="0" t="0" r="0" b="0"/>
            <wp:docPr id="1918494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9421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78240" cy="5793846"/>
                    </a:xfrm>
                    <a:prstGeom prst="rect">
                      <a:avLst/>
                    </a:prstGeom>
                  </pic:spPr>
                </pic:pic>
              </a:graphicData>
            </a:graphic>
          </wp:inline>
        </w:drawing>
      </w:r>
      <w:r w:rsidR="00745F5A" w:rsidRPr="059A80A4">
        <w:rPr>
          <w:rFonts w:ascii="Aptos" w:eastAsia="Times New Roman" w:hAnsi="Aptos"/>
          <w:color w:val="000000" w:themeColor="text1"/>
        </w:rPr>
        <w:t xml:space="preserve"> </w:t>
      </w:r>
    </w:p>
    <w:p w14:paraId="510EB864" w14:textId="7BD29D4C" w:rsidR="00C15F85" w:rsidRDefault="00C15F85" w:rsidP="00114D0F">
      <w:pPr>
        <w:pStyle w:val="Heading1"/>
        <w:jc w:val="center"/>
        <w:rPr>
          <w:rFonts w:ascii="Aptos" w:eastAsia="Times New Roman" w:hAnsi="Aptos"/>
          <w:color w:val="000000"/>
        </w:rPr>
      </w:pPr>
    </w:p>
    <w:p w14:paraId="5340F45A" w14:textId="73885AC2" w:rsidR="0084599E" w:rsidRPr="00114D0F" w:rsidRDefault="0084599E" w:rsidP="00114D0F">
      <w:pPr>
        <w:pStyle w:val="Heading1"/>
        <w:jc w:val="center"/>
        <w:rPr>
          <w:rFonts w:ascii="Agency FB" w:eastAsia="Times New Roman" w:hAnsi="Agency FB"/>
          <w:b w:val="0"/>
          <w:bCs w:val="0"/>
          <w:i/>
          <w:iCs/>
          <w:color w:val="000000"/>
        </w:rPr>
      </w:pPr>
      <w:r w:rsidRPr="0084599E">
        <w:rPr>
          <w:rFonts w:ascii="Aptos" w:eastAsia="Times New Roman" w:hAnsi="Aptos"/>
          <w:color w:val="000000"/>
        </w:rPr>
        <w:t>Welcome to the First Edition of JCML</w:t>
      </w:r>
      <w:r w:rsidR="0086292D">
        <w:rPr>
          <w:rFonts w:ascii="Aptos" w:eastAsia="Times New Roman" w:hAnsi="Aptos"/>
          <w:color w:val="000000"/>
        </w:rPr>
        <w:t xml:space="preserve"> </w:t>
      </w:r>
      <w:r w:rsidRPr="0084599E">
        <w:rPr>
          <w:rFonts w:ascii="Aptos" w:eastAsia="Times New Roman" w:hAnsi="Aptos"/>
          <w:color w:val="000000"/>
        </w:rPr>
        <w:t>HOLDING LLC</w:t>
      </w:r>
      <w:r w:rsidR="0086292D">
        <w:rPr>
          <w:rFonts w:ascii="Aptos" w:eastAsia="Times New Roman" w:hAnsi="Aptos"/>
          <w:color w:val="000000"/>
        </w:rPr>
        <w:t>.</w:t>
      </w:r>
      <w:r w:rsidRPr="0084599E">
        <w:rPr>
          <w:rFonts w:ascii="Aptos" w:eastAsia="Times New Roman" w:hAnsi="Aptos"/>
          <w:color w:val="000000"/>
        </w:rPr>
        <w:t xml:space="preserve"> </w:t>
      </w:r>
    </w:p>
    <w:p w14:paraId="4D50511F" w14:textId="5758045B" w:rsidR="009F2A50" w:rsidRPr="009F2A50" w:rsidRDefault="0084599E">
      <w:pPr>
        <w:pStyle w:val="Heading1"/>
        <w:rPr>
          <w:rFonts w:ascii="Aptos" w:eastAsia="Times New Roman" w:hAnsi="Aptos"/>
          <w:color w:val="000000"/>
        </w:rPr>
      </w:pPr>
      <w:r w:rsidRPr="0084599E">
        <w:rPr>
          <w:rFonts w:ascii="Aptos" w:hAnsi="Aptos"/>
          <w:color w:val="000000"/>
        </w:rPr>
        <w:t>Celebrating 17 Years of Innovation and Growth</w:t>
      </w:r>
      <w:r w:rsidR="00272FDB">
        <w:rPr>
          <w:rFonts w:ascii="Aptos" w:hAnsi="Aptos"/>
          <w:color w:val="000000"/>
        </w:rPr>
        <w:t xml:space="preserve"> </w:t>
      </w:r>
      <w:r w:rsidR="009F2A50" w:rsidRPr="009F2A50">
        <w:rPr>
          <w:rFonts w:ascii="Aptos" w:eastAsia="Times New Roman" w:hAnsi="Aptos"/>
          <w:color w:val="000000"/>
        </w:rPr>
        <w:t>Welcome to the First Edition of JCMLHOLDING LLC Newsletter</w:t>
      </w:r>
      <w:r w:rsidR="00E51B20">
        <w:rPr>
          <w:rFonts w:ascii="Aptos" w:eastAsia="Times New Roman" w:hAnsi="Aptos"/>
          <w:color w:val="000000"/>
        </w:rPr>
        <w:t xml:space="preserve"> Issue #1.</w:t>
      </w:r>
    </w:p>
    <w:p w14:paraId="78FA096A" w14:textId="26FAC8B8" w:rsidR="009F2A50" w:rsidRPr="009F2A50" w:rsidRDefault="009F2A50">
      <w:pPr>
        <w:pStyle w:val="NormalWeb"/>
        <w:rPr>
          <w:rFonts w:ascii="Aptos" w:hAnsi="Aptos"/>
          <w:color w:val="000000"/>
        </w:rPr>
      </w:pPr>
      <w:r w:rsidRPr="009F2A50">
        <w:rPr>
          <w:rFonts w:ascii="Aptos" w:hAnsi="Aptos"/>
          <w:color w:val="000000"/>
        </w:rPr>
        <w:t>Celebrating 17 Years of Innovation and Investmen</w:t>
      </w:r>
      <w:r w:rsidR="008815A6">
        <w:rPr>
          <w:rFonts w:ascii="Aptos" w:hAnsi="Aptos"/>
          <w:color w:val="000000"/>
        </w:rPr>
        <w:t xml:space="preserve">t </w:t>
      </w:r>
      <w:r w:rsidRPr="009F2A50">
        <w:rPr>
          <w:rFonts w:ascii="Aptos" w:hAnsi="Aptos"/>
          <w:color w:val="000000"/>
        </w:rPr>
        <w:t>At JCMLHOLDING LLC, we take pride in our long-standing commitment to fostering growth and opportunity within the United States. Since our inception 17 years ago, our mission has been to invest in American people and leverage cutting-edge technology to create meaningful societal change. Our dedication to this mission continues to drive us forward as we expand our reach and impact.</w:t>
      </w:r>
    </w:p>
    <w:p w14:paraId="2B482517" w14:textId="77777777" w:rsidR="009F2A50" w:rsidRPr="009F2A50" w:rsidRDefault="009F2A50">
      <w:pPr>
        <w:pStyle w:val="Heading2"/>
        <w:rPr>
          <w:rFonts w:ascii="Aptos" w:eastAsia="Times New Roman" w:hAnsi="Aptos"/>
          <w:color w:val="000000"/>
        </w:rPr>
      </w:pPr>
      <w:r w:rsidRPr="009F2A50">
        <w:rPr>
          <w:rFonts w:ascii="Aptos" w:eastAsia="Times New Roman" w:hAnsi="Aptos"/>
          <w:color w:val="000000"/>
        </w:rPr>
        <w:t>Our Vision and Operations</w:t>
      </w:r>
    </w:p>
    <w:p w14:paraId="09C3A752" w14:textId="77777777" w:rsidR="009F2A50" w:rsidRPr="009F2A50" w:rsidRDefault="009F2A50">
      <w:pPr>
        <w:pStyle w:val="NormalWeb"/>
        <w:rPr>
          <w:rFonts w:ascii="Aptos" w:hAnsi="Aptos"/>
          <w:color w:val="000000"/>
        </w:rPr>
      </w:pPr>
      <w:r w:rsidRPr="009F2A50">
        <w:rPr>
          <w:rFonts w:ascii="Aptos" w:hAnsi="Aptos"/>
          <w:color w:val="000000"/>
        </w:rPr>
        <w:t>Based in Wyoming, our company oversees multiple subsidiaries, each operating with a high degree of autonomy. We empower our staff to function as fully integrated American workers, ensuring efficiency, innovation, and a strong work ethic. Managing these diverse operations requires a deep understanding of finance, technology, and organizational management, all of which are essential to our success.</w:t>
      </w:r>
    </w:p>
    <w:p w14:paraId="31F69E9A" w14:textId="77777777" w:rsidR="009F2A50" w:rsidRPr="009F2A50" w:rsidRDefault="009F2A50">
      <w:pPr>
        <w:pStyle w:val="Heading2"/>
        <w:rPr>
          <w:rFonts w:ascii="Aptos" w:eastAsia="Times New Roman" w:hAnsi="Aptos"/>
          <w:color w:val="000000"/>
        </w:rPr>
      </w:pPr>
      <w:r w:rsidRPr="009F2A50">
        <w:rPr>
          <w:rFonts w:ascii="Aptos" w:eastAsia="Times New Roman" w:hAnsi="Aptos"/>
          <w:color w:val="000000"/>
        </w:rPr>
        <w:t>Embracing Technology and Innovation</w:t>
      </w:r>
    </w:p>
    <w:p w14:paraId="5D2F3B0E" w14:textId="77777777" w:rsidR="009F2A50" w:rsidRPr="009F2A50" w:rsidRDefault="009F2A50">
      <w:pPr>
        <w:pStyle w:val="NormalWeb"/>
        <w:rPr>
          <w:rFonts w:ascii="Aptos" w:hAnsi="Aptos"/>
          <w:color w:val="000000"/>
        </w:rPr>
      </w:pPr>
      <w:r w:rsidRPr="009F2A50">
        <w:rPr>
          <w:rFonts w:ascii="Aptos" w:hAnsi="Aptos"/>
          <w:color w:val="000000"/>
        </w:rPr>
        <w:t>Technology plays a pivotal role in our strategy. We are developing advanced software solutions designed to bring about societal change. These tools aim to improve access to information, streamline processes, and foster community development. Our focus on innovation ensures that we stay ahead of market trends and continue to provide value to our stakeholders.</w:t>
      </w:r>
    </w:p>
    <w:p w14:paraId="77F9825E" w14:textId="77777777" w:rsidR="009F2A50" w:rsidRPr="009F2A50" w:rsidRDefault="009F2A50">
      <w:pPr>
        <w:pStyle w:val="Heading2"/>
        <w:rPr>
          <w:rFonts w:ascii="Aptos" w:eastAsia="Times New Roman" w:hAnsi="Aptos"/>
          <w:color w:val="000000"/>
        </w:rPr>
      </w:pPr>
      <w:r w:rsidRPr="009F2A50">
        <w:rPr>
          <w:rFonts w:ascii="Aptos" w:eastAsia="Times New Roman" w:hAnsi="Aptos"/>
          <w:color w:val="000000"/>
        </w:rPr>
        <w:t>Upcoming Podcast Launch</w:t>
      </w:r>
    </w:p>
    <w:p w14:paraId="3A0B3AC6" w14:textId="77777777" w:rsidR="009F2A50" w:rsidRPr="009F2A50" w:rsidRDefault="009F2A50">
      <w:pPr>
        <w:pStyle w:val="NormalWeb"/>
        <w:rPr>
          <w:rFonts w:ascii="Aptos" w:hAnsi="Aptos"/>
          <w:color w:val="000000"/>
        </w:rPr>
      </w:pPr>
      <w:r w:rsidRPr="009F2A50">
        <w:rPr>
          <w:rFonts w:ascii="Aptos" w:hAnsi="Aptos"/>
          <w:color w:val="000000"/>
        </w:rPr>
        <w:t>To enhance our outreach and share insights into our work, markets, and societal issues, we are excited to announce the upcoming launch of our podcast. This platform will offer valuable perspectives, industry analysis, and stories from our team and partners. It will serve as a powerful tool for exposure and engagement, helping us connect with a broader audience and foster meaningful dialogue.</w:t>
      </w:r>
    </w:p>
    <w:p w14:paraId="5BDA83B0" w14:textId="77777777" w:rsidR="009F2A50" w:rsidRPr="009F2A50" w:rsidRDefault="009F2A50">
      <w:pPr>
        <w:pStyle w:val="Heading2"/>
        <w:rPr>
          <w:rFonts w:ascii="Aptos" w:eastAsia="Times New Roman" w:hAnsi="Aptos"/>
          <w:color w:val="000000"/>
        </w:rPr>
      </w:pPr>
      <w:r w:rsidRPr="009F2A50">
        <w:rPr>
          <w:rFonts w:ascii="Aptos" w:eastAsia="Times New Roman" w:hAnsi="Aptos"/>
          <w:color w:val="000000"/>
        </w:rPr>
        <w:t>Challenges and Dedication</w:t>
      </w:r>
    </w:p>
    <w:p w14:paraId="68FAD4E5" w14:textId="77777777" w:rsidR="009F2A50" w:rsidRPr="009F2A50" w:rsidRDefault="009F2A50">
      <w:pPr>
        <w:pStyle w:val="NormalWeb"/>
        <w:rPr>
          <w:rFonts w:ascii="Aptos" w:hAnsi="Aptos"/>
          <w:color w:val="000000"/>
        </w:rPr>
      </w:pPr>
      <w:r w:rsidRPr="009F2A50">
        <w:rPr>
          <w:rFonts w:ascii="Aptos" w:hAnsi="Aptos"/>
          <w:color w:val="000000"/>
        </w:rPr>
        <w:t>Running a multifaceted organization like JCMLHOLDING LLC, especially as a sole operator, demands a diverse skill set. From managing financial portfolios and overseeing technological development to coordinating multiple subsidiaries and launching new media initiatives, the workload is substantial. It requires strategic planning, resilience, and a continuous learning mindset to adapt and thrive in a competitive environment.</w:t>
      </w:r>
    </w:p>
    <w:p w14:paraId="79C64CD9" w14:textId="77777777" w:rsidR="009F2A50" w:rsidRPr="009F2A50" w:rsidRDefault="009F2A50">
      <w:pPr>
        <w:pStyle w:val="NormalWeb"/>
        <w:rPr>
          <w:rFonts w:ascii="Aptos" w:hAnsi="Aptos"/>
          <w:color w:val="000000"/>
        </w:rPr>
      </w:pPr>
      <w:r w:rsidRPr="009F2A50">
        <w:rPr>
          <w:rFonts w:ascii="Aptos" w:hAnsi="Aptos"/>
          <w:color w:val="000000"/>
        </w:rPr>
        <w:t>We are committed to transparency, innovation, and growth. Our journey is driven by a passion for making a difference and a belief in the power of technology and dedicated people to shape a better future.</w:t>
      </w:r>
    </w:p>
    <w:p w14:paraId="7DEAF4FC" w14:textId="0EEA3102" w:rsidR="0084599E" w:rsidRPr="0084599E" w:rsidRDefault="009F2A50">
      <w:pPr>
        <w:pStyle w:val="NormalWeb"/>
        <w:rPr>
          <w:rFonts w:ascii="Aptos" w:hAnsi="Aptos"/>
          <w:color w:val="000000"/>
        </w:rPr>
      </w:pPr>
      <w:r w:rsidRPr="009F2A50">
        <w:rPr>
          <w:rFonts w:ascii="Aptos" w:hAnsi="Aptos"/>
          <w:color w:val="000000"/>
        </w:rPr>
        <w:t>Thank you for being part of our community. Stay tuned for more updates, insights, and stories in our upcoming editions.</w:t>
      </w:r>
      <w:r w:rsidR="00D86FC6">
        <w:rPr>
          <w:rStyle w:val="FootnoteReference"/>
          <w:rFonts w:ascii="Aptos" w:hAnsi="Aptos"/>
          <w:color w:val="000000"/>
        </w:rPr>
        <w:footnoteReference w:id="1"/>
      </w:r>
      <w:r w:rsidR="00D86FC6" w:rsidRPr="00D86FC6">
        <w:rPr>
          <w:rFonts w:ascii="Aptos" w:hAnsi="Aptos"/>
          <w:color w:val="000000"/>
          <w:vertAlign w:val="superscript"/>
        </w:rPr>
        <w:t>,</w:t>
      </w:r>
      <w:r>
        <w:rPr>
          <w:rStyle w:val="FootnoteReference"/>
          <w:rFonts w:ascii="Aptos" w:hAnsi="Aptos"/>
          <w:color w:val="000000"/>
        </w:rPr>
        <w:footnoteReference w:id="2"/>
      </w:r>
    </w:p>
    <w:p w14:paraId="39C57503" w14:textId="77777777" w:rsidR="0084599E" w:rsidRPr="0084599E" w:rsidRDefault="0084599E">
      <w:pPr>
        <w:pStyle w:val="NormalWeb"/>
        <w:rPr>
          <w:rFonts w:ascii="Aptos" w:hAnsi="Aptos"/>
          <w:color w:val="000000"/>
        </w:rPr>
      </w:pPr>
      <w:r w:rsidRPr="0084599E">
        <w:rPr>
          <w:rFonts w:ascii="Aptos" w:hAnsi="Aptos"/>
          <w:color w:val="000000"/>
        </w:rPr>
        <w:t>At JCMLHOLDING LLC, we take pride in our journey spanning over 17 years of dedicated service in the investment and technology sectors. Based in Wyoming, our company has established a robust presence across multiple subsidiaries, each managed with a commitment to operational excellence and a deep understanding of American business practices. Our mission is to invest in the American people and leverage cutting-edge technology to foster societal progress.</w:t>
      </w:r>
    </w:p>
    <w:p w14:paraId="6726CB87" w14:textId="021C8F69" w:rsidR="0084599E" w:rsidRPr="0084599E" w:rsidRDefault="0084599E">
      <w:pPr>
        <w:pStyle w:val="Heading2"/>
        <w:rPr>
          <w:rFonts w:ascii="Aptos" w:eastAsia="Times New Roman" w:hAnsi="Aptos"/>
          <w:color w:val="000000"/>
        </w:rPr>
      </w:pPr>
      <w:r w:rsidRPr="0084599E">
        <w:rPr>
          <w:rFonts w:ascii="Aptos" w:eastAsia="Times New Roman" w:hAnsi="Aptos"/>
          <w:color w:val="000000"/>
        </w:rPr>
        <w:t xml:space="preserve">Our </w:t>
      </w:r>
      <w:r w:rsidR="00C57CE0">
        <w:rPr>
          <w:rFonts w:ascii="Aptos" w:eastAsia="Times New Roman" w:hAnsi="Aptos"/>
          <w:noProof/>
          <w:color w:val="000000"/>
        </w:rPr>
        <w:drawing>
          <wp:anchor distT="0" distB="0" distL="114300" distR="114300" simplePos="0" relativeHeight="251658240" behindDoc="0" locked="0" layoutInCell="1" allowOverlap="1" wp14:anchorId="1CB6543D" wp14:editId="6D84239F">
            <wp:simplePos x="0" y="0"/>
            <wp:positionH relativeFrom="column">
              <wp:posOffset>-399732</wp:posOffset>
            </wp:positionH>
            <wp:positionV relativeFrom="paragraph">
              <wp:posOffset>-11465200</wp:posOffset>
            </wp:positionV>
            <wp:extent cx="1399719" cy="1435693"/>
            <wp:effectExtent l="0" t="0" r="0" b="0"/>
            <wp:wrapSquare wrapText="bothSides"/>
            <wp:docPr id="781666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66432" name="Picture 7816664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8626" cy="1444829"/>
                    </a:xfrm>
                    <a:prstGeom prst="rect">
                      <a:avLst/>
                    </a:prstGeom>
                  </pic:spPr>
                </pic:pic>
              </a:graphicData>
            </a:graphic>
            <wp14:sizeRelH relativeFrom="margin">
              <wp14:pctWidth>0</wp14:pctWidth>
            </wp14:sizeRelH>
            <wp14:sizeRelV relativeFrom="margin">
              <wp14:pctHeight>0</wp14:pctHeight>
            </wp14:sizeRelV>
          </wp:anchor>
        </w:drawing>
      </w:r>
      <w:r w:rsidRPr="0084599E">
        <w:rPr>
          <w:rFonts w:ascii="Aptos" w:eastAsia="Times New Roman" w:hAnsi="Aptos"/>
          <w:color w:val="000000"/>
        </w:rPr>
        <w:t>Vision and Mission</w:t>
      </w:r>
    </w:p>
    <w:p w14:paraId="565AF945" w14:textId="77777777" w:rsidR="0084599E" w:rsidRPr="0084599E" w:rsidRDefault="0084599E">
      <w:pPr>
        <w:pStyle w:val="NormalWeb"/>
        <w:rPr>
          <w:rFonts w:ascii="Aptos" w:hAnsi="Aptos"/>
          <w:color w:val="000000"/>
        </w:rPr>
      </w:pPr>
      <w:r w:rsidRPr="0084599E">
        <w:rPr>
          <w:rFonts w:ascii="Aptos" w:hAnsi="Aptos"/>
          <w:color w:val="000000"/>
        </w:rPr>
        <w:t>Our core objective is to create meaningful impact through strategic investments and innovative solutions. We believe that technology is a powerful tool to enhance societal well-being, and our upcoming projects reflect this conviction. We are developing software designed to bring about tangible societal change, aiming to address pressing issues with practical, scalable solutions.</w:t>
      </w:r>
    </w:p>
    <w:p w14:paraId="7B19B63D" w14:textId="696D72A6" w:rsidR="0084599E" w:rsidRPr="0084599E" w:rsidRDefault="0084599E">
      <w:pPr>
        <w:pStyle w:val="Heading2"/>
        <w:rPr>
          <w:rFonts w:ascii="Aptos" w:eastAsia="Times New Roman" w:hAnsi="Aptos"/>
          <w:color w:val="000000"/>
        </w:rPr>
      </w:pPr>
      <w:r w:rsidRPr="0084599E">
        <w:rPr>
          <w:rFonts w:ascii="Aptos" w:eastAsia="Times New Roman" w:hAnsi="Aptos"/>
          <w:color w:val="000000"/>
        </w:rPr>
        <w:t xml:space="preserve">Expanding Our Reach: </w:t>
      </w:r>
      <w:r w:rsidR="00BB14B6">
        <w:rPr>
          <w:rFonts w:ascii="Aptos" w:eastAsia="Times New Roman" w:hAnsi="Aptos"/>
          <w:color w:val="000000"/>
        </w:rPr>
        <w:t xml:space="preserve">future </w:t>
      </w:r>
      <w:r w:rsidRPr="0084599E">
        <w:rPr>
          <w:rFonts w:ascii="Aptos" w:eastAsia="Times New Roman" w:hAnsi="Aptos"/>
          <w:color w:val="000000"/>
        </w:rPr>
        <w:t>Podcast</w:t>
      </w:r>
    </w:p>
    <w:p w14:paraId="24712AC3" w14:textId="77777777" w:rsidR="0084599E" w:rsidRPr="0084599E" w:rsidRDefault="0084599E">
      <w:pPr>
        <w:pStyle w:val="NormalWeb"/>
        <w:rPr>
          <w:rFonts w:ascii="Aptos" w:hAnsi="Aptos"/>
          <w:color w:val="000000"/>
        </w:rPr>
      </w:pPr>
      <w:r w:rsidRPr="0084599E">
        <w:rPr>
          <w:rFonts w:ascii="Aptos" w:hAnsi="Aptos"/>
          <w:color w:val="000000"/>
        </w:rPr>
        <w:t>In our pursuit of transparency and engagement, we are excited to announce the upcoming launch of our company podcast. This platform will provide valuable insights into market trends, technological advancements, and our ongoing projects. It will serve as a bridge connecting us with our community, investors, and industry peers, offering a unique perspective on the challenges and opportunities within our sectors.</w:t>
      </w:r>
    </w:p>
    <w:p w14:paraId="098626C1" w14:textId="77777777" w:rsidR="00351C22" w:rsidRPr="00351C22" w:rsidRDefault="00351C22">
      <w:pPr>
        <w:pStyle w:val="Heading2"/>
        <w:rPr>
          <w:rFonts w:ascii="Aptos" w:eastAsia="Times New Roman" w:hAnsi="Aptos"/>
          <w:color w:val="000000"/>
        </w:rPr>
      </w:pPr>
      <w:r w:rsidRPr="00351C22">
        <w:rPr>
          <w:rFonts w:ascii="Aptos" w:eastAsia="Times New Roman" w:hAnsi="Aptos"/>
          <w:color w:val="000000"/>
        </w:rPr>
        <w:t>Operational Excellence and Leadership</w:t>
      </w:r>
    </w:p>
    <w:p w14:paraId="7A8971B5" w14:textId="77777777" w:rsidR="00351C22" w:rsidRPr="00351C22" w:rsidRDefault="00351C22">
      <w:pPr>
        <w:pStyle w:val="NormalWeb"/>
        <w:rPr>
          <w:rFonts w:ascii="Aptos" w:hAnsi="Aptos"/>
          <w:color w:val="000000"/>
        </w:rPr>
      </w:pPr>
      <w:r w:rsidRPr="00351C22">
        <w:rPr>
          <w:rFonts w:ascii="Aptos" w:hAnsi="Aptos"/>
          <w:color w:val="000000"/>
        </w:rPr>
        <w:t>Achieving operational excellence in managing multiple subsidiaries necessitates a strategic approach that encompasses financial management, technological integration, and effective leadership. Leaders must develop a comprehensive understanding of financial metrics, risk management, and resource allocation to optimize performance across diverse business units. Leadership also involves fostering a culture of accountability, continuous improvement, and innovation, which requires strong communication skills and the ability to motivate teams. Implementing standardized processes and leveraging data analytics can enhance decision-making, streamline operations, and ensure compliance with regulatory standards. Additionally, cultivating leadership talent through training and mentorship is vital for sustaining long-term growth and adapting to market changes.</w:t>
      </w:r>
    </w:p>
    <w:p w14:paraId="05DC246B" w14:textId="77777777" w:rsidR="00351C22" w:rsidRPr="00351C22" w:rsidRDefault="00351C22">
      <w:pPr>
        <w:pStyle w:val="Heading2"/>
        <w:rPr>
          <w:rFonts w:ascii="Aptos" w:eastAsia="Times New Roman" w:hAnsi="Aptos"/>
          <w:color w:val="000000"/>
        </w:rPr>
      </w:pPr>
      <w:r w:rsidRPr="00351C22">
        <w:rPr>
          <w:rFonts w:ascii="Aptos" w:eastAsia="Times New Roman" w:hAnsi="Aptos"/>
          <w:color w:val="000000"/>
        </w:rPr>
        <w:t>Technology and Innovation</w:t>
      </w:r>
    </w:p>
    <w:p w14:paraId="696DD37E" w14:textId="77777777" w:rsidR="00351C22" w:rsidRPr="00351C22" w:rsidRDefault="00351C22">
      <w:pPr>
        <w:pStyle w:val="NormalWeb"/>
        <w:rPr>
          <w:rFonts w:ascii="Aptos" w:hAnsi="Aptos"/>
          <w:color w:val="000000"/>
        </w:rPr>
      </w:pPr>
      <w:r w:rsidRPr="00351C22">
        <w:rPr>
          <w:rFonts w:ascii="Aptos" w:hAnsi="Aptos"/>
          <w:color w:val="000000"/>
        </w:rPr>
        <w:t>Our commitment to technological advancement involves investing in research and development to create innovative solutions that address societal challenges. This includes adopting emerging technologies such as artificial intelligence, machine learning, and blockchain to enhance the functionality and security of our software products. Staying ahead in technology also requires fostering a culture of continuous learning among our team members, encouraging experimentation, and embracing agile methodologies to accelerate development cycles. We prioritize scalable and sustainable solutions that can adapt to evolving user needs and environmental considerations. Collaborations with academic institutions and industry partners further bolster our capacity for innovation, ensuring our offerings remain relevant and impactful.</w:t>
      </w:r>
    </w:p>
    <w:p w14:paraId="35577293" w14:textId="77777777" w:rsidR="00351C22" w:rsidRPr="00351C22" w:rsidRDefault="00351C22">
      <w:pPr>
        <w:pStyle w:val="Heading2"/>
        <w:rPr>
          <w:rFonts w:ascii="Aptos" w:eastAsia="Times New Roman" w:hAnsi="Aptos"/>
          <w:color w:val="000000"/>
        </w:rPr>
      </w:pPr>
      <w:r w:rsidRPr="00351C22">
        <w:rPr>
          <w:rFonts w:ascii="Aptos" w:eastAsia="Times New Roman" w:hAnsi="Aptos"/>
          <w:color w:val="000000"/>
        </w:rPr>
        <w:t>Challenges and Opportunities</w:t>
      </w:r>
    </w:p>
    <w:p w14:paraId="76D33728" w14:textId="77777777" w:rsidR="00351C22" w:rsidRPr="00351C22" w:rsidRDefault="00351C22">
      <w:pPr>
        <w:pStyle w:val="NormalWeb"/>
        <w:rPr>
          <w:rFonts w:ascii="Aptos" w:hAnsi="Aptos"/>
          <w:color w:val="000000"/>
        </w:rPr>
      </w:pPr>
      <w:r w:rsidRPr="00351C22">
        <w:rPr>
          <w:rFonts w:ascii="Aptos" w:hAnsi="Aptos"/>
          <w:color w:val="000000"/>
        </w:rPr>
        <w:t>Managing a diverse portfolio involves navigating complex market dynamics, regulatory environments, and stakeholder expectations. Launching initiatives like our podcast requires strategic planning, content development, and effective marketing to reach target audiences. Overcoming these challenges involves building resilience through adaptive strategies, resource management, and leveraging technological tools for content distribution and engagement analytics. These experiences provide valuable insights into consumer behavior, brand positioning, and operational efficiencies. Recognizing opportunities for expansion, diversification, and digital engagement allows us to capitalize on emerging trends and foster sustainable growth. Continuous evaluation and feedback mechanisms are essential for refining our strategies and maximizing impact.</w:t>
      </w:r>
    </w:p>
    <w:p w14:paraId="1FF7FDDB" w14:textId="4C7A7DF3" w:rsidR="00351C22" w:rsidRPr="00351C22" w:rsidRDefault="00C5764E">
      <w:pPr>
        <w:pStyle w:val="Heading2"/>
        <w:rPr>
          <w:rFonts w:ascii="Aptos" w:eastAsia="Times New Roman" w:hAnsi="Aptos"/>
          <w:color w:val="000000"/>
        </w:rPr>
      </w:pPr>
      <w:r>
        <w:rPr>
          <w:rFonts w:ascii="Aptos" w:eastAsia="Times New Roman" w:hAnsi="Aptos"/>
          <w:noProof/>
          <w:color w:val="000000"/>
        </w:rPr>
        <w:drawing>
          <wp:inline distT="0" distB="0" distL="0" distR="0" wp14:anchorId="42C51396" wp14:editId="6AB8A056">
            <wp:extent cx="2540000" cy="2540000"/>
            <wp:effectExtent l="0" t="0" r="0" b="0"/>
            <wp:docPr id="1451102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02654" name=""/>
                    <pic:cNvPicPr/>
                  </pic:nvPicPr>
                  <pic:blipFill>
                    <a:blip r:embed="rId10">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r>
        <w:rPr>
          <w:rFonts w:ascii="Aptos" w:eastAsia="Times New Roman" w:hAnsi="Aptos"/>
          <w:color w:val="000000"/>
        </w:rPr>
        <w:t xml:space="preserve">  </w:t>
      </w:r>
      <w:r w:rsidR="00351C22" w:rsidRPr="00351C22">
        <w:rPr>
          <w:rFonts w:ascii="Aptos" w:eastAsia="Times New Roman" w:hAnsi="Aptos"/>
          <w:color w:val="000000"/>
        </w:rPr>
        <w:t>Looking Ahead</w:t>
      </w:r>
    </w:p>
    <w:p w14:paraId="07D28C02" w14:textId="77777777" w:rsidR="00351C22" w:rsidRPr="00351C22" w:rsidRDefault="00351C22">
      <w:pPr>
        <w:pStyle w:val="NormalWeb"/>
        <w:rPr>
          <w:rFonts w:ascii="Aptos" w:hAnsi="Aptos"/>
          <w:color w:val="000000"/>
        </w:rPr>
      </w:pPr>
      <w:r w:rsidRPr="00351C22">
        <w:rPr>
          <w:rFonts w:ascii="Aptos" w:hAnsi="Aptos"/>
          <w:color w:val="000000"/>
        </w:rPr>
        <w:t>Our future trajectory emphasizes impactful investments in emerging technologies, community engagement, and sustainable development. We aim to expand our technological capabilities by exploring new fields such as quantum computing and IoT, which hold promise for transformative societal benefits. Strengthening community partnerships and corporate social responsibility initiatives will enhance our social license to operate and contribute to societal well-being. We also plan to enhance our communication channels, including our podcast and digital platforms, to foster greater transparency and stakeholder involvement. By maintaining a forward-looking perspective, we are committed to driving innovation, creating value, and making a positive difference in the communities we serve.</w:t>
      </w:r>
    </w:p>
    <w:p w14:paraId="3D402ED9" w14:textId="263EA981" w:rsidR="00C24A87" w:rsidRDefault="00351C22">
      <w:pPr>
        <w:rPr>
          <w:rFonts w:ascii="Aptos" w:hAnsi="Aptos"/>
          <w:color w:val="000000"/>
        </w:rPr>
      </w:pPr>
      <w:r w:rsidRPr="3B74099D">
        <w:rPr>
          <w:rFonts w:ascii="Aptos" w:hAnsi="Aptos"/>
          <w:color w:val="000000" w:themeColor="text1"/>
        </w:rPr>
        <w:t xml:space="preserve">We appreciate your continued support and invite you to stay connected for updates on our progress, insights from our initiatives, and opportunities for collaboration. Together, we can achieve sustainable growth and </w:t>
      </w:r>
      <w:r w:rsidR="65318E85" w:rsidRPr="3B74099D">
        <w:rPr>
          <w:rFonts w:ascii="Aptos" w:hAnsi="Aptos"/>
          <w:color w:val="000000" w:themeColor="text1"/>
        </w:rPr>
        <w:t xml:space="preserve">a </w:t>
      </w:r>
      <w:r w:rsidRPr="3B74099D">
        <w:rPr>
          <w:rFonts w:ascii="Aptos" w:hAnsi="Aptos"/>
          <w:color w:val="000000" w:themeColor="text1"/>
        </w:rPr>
        <w:t xml:space="preserve">meaningful impact </w:t>
      </w:r>
      <w:r w:rsidR="04C2BD8B" w:rsidRPr="56650F74">
        <w:rPr>
          <w:rFonts w:ascii="Aptos" w:hAnsi="Aptos"/>
          <w:color w:val="000000" w:themeColor="text1"/>
        </w:rPr>
        <w:t>on</w:t>
      </w:r>
      <w:r w:rsidRPr="3B74099D">
        <w:rPr>
          <w:rFonts w:ascii="Aptos" w:hAnsi="Aptos"/>
          <w:color w:val="000000" w:themeColor="text1"/>
        </w:rPr>
        <w:t xml:space="preserve"> our respective fields.</w:t>
      </w:r>
    </w:p>
    <w:p w14:paraId="28E2D514" w14:textId="290E7202" w:rsidR="008807C3" w:rsidRDefault="008807C3">
      <w:pPr>
        <w:rPr>
          <w:rFonts w:ascii="Aptos" w:hAnsi="Aptos"/>
          <w:color w:val="000000"/>
        </w:rPr>
      </w:pPr>
      <w:r>
        <w:rPr>
          <w:rFonts w:ascii="Aptos" w:hAnsi="Aptos"/>
          <w:color w:val="000000"/>
        </w:rPr>
        <w:t xml:space="preserve">Please Feel Free </w:t>
      </w:r>
      <w:r w:rsidR="00BD4E0F">
        <w:rPr>
          <w:rFonts w:ascii="Aptos" w:hAnsi="Aptos"/>
          <w:color w:val="000000"/>
        </w:rPr>
        <w:t>To</w:t>
      </w:r>
      <w:r>
        <w:rPr>
          <w:rFonts w:ascii="Aptos" w:hAnsi="Aptos"/>
          <w:color w:val="000000"/>
        </w:rPr>
        <w:t xml:space="preserve"> </w:t>
      </w:r>
      <w:r w:rsidR="00465507">
        <w:rPr>
          <w:rFonts w:ascii="Aptos" w:hAnsi="Aptos"/>
          <w:color w:val="000000"/>
        </w:rPr>
        <w:t xml:space="preserve">Reach Out @ </w:t>
      </w:r>
      <w:hyperlink r:id="rId11" w:history="1">
        <w:r w:rsidR="00BD4E0F" w:rsidRPr="002C1E99">
          <w:rPr>
            <w:rStyle w:val="Hyperlink"/>
            <w:rFonts w:ascii="Aptos" w:hAnsi="Aptos"/>
          </w:rPr>
          <w:t>matthew@jcmlholding.com</w:t>
        </w:r>
      </w:hyperlink>
    </w:p>
    <w:p w14:paraId="1A82C784" w14:textId="77777777" w:rsidR="00BD4E0F" w:rsidRDefault="00BD4E0F">
      <w:pPr>
        <w:rPr>
          <w:rFonts w:ascii="Aptos" w:hAnsi="Aptos"/>
          <w:color w:val="000000"/>
        </w:rPr>
      </w:pPr>
    </w:p>
    <w:p w14:paraId="2C078E63" w14:textId="0AC38BA7" w:rsidR="00802208" w:rsidRPr="00C24A87" w:rsidRDefault="00802208" w:rsidP="00C24A87">
      <w:pPr>
        <w:rPr>
          <w:rFonts w:ascii="Aptos" w:hAnsi="Aptos"/>
          <w:color w:val="000000" w:themeColor="text1"/>
        </w:rPr>
      </w:pPr>
    </w:p>
    <w:sectPr w:rsidR="00802208" w:rsidRPr="00C24A87" w:rsidSect="00A35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E643" w14:textId="77777777" w:rsidR="002C3907" w:rsidRDefault="002C3907" w:rsidP="009F2A50">
      <w:pPr>
        <w:spacing w:after="0" w:line="240" w:lineRule="auto"/>
      </w:pPr>
      <w:r>
        <w:separator/>
      </w:r>
    </w:p>
  </w:endnote>
  <w:endnote w:type="continuationSeparator" w:id="0">
    <w:p w14:paraId="5FBBBE09" w14:textId="77777777" w:rsidR="002C3907" w:rsidRDefault="002C3907" w:rsidP="009F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2750" w14:textId="77777777" w:rsidR="002C3907" w:rsidRDefault="002C3907" w:rsidP="009F2A50">
      <w:pPr>
        <w:spacing w:after="0" w:line="240" w:lineRule="auto"/>
      </w:pPr>
      <w:r>
        <w:separator/>
      </w:r>
    </w:p>
  </w:footnote>
  <w:footnote w:type="continuationSeparator" w:id="0">
    <w:p w14:paraId="104AA451" w14:textId="77777777" w:rsidR="002C3907" w:rsidRDefault="002C3907" w:rsidP="009F2A50">
      <w:pPr>
        <w:spacing w:after="0" w:line="240" w:lineRule="auto"/>
      </w:pPr>
      <w:r>
        <w:continuationSeparator/>
      </w:r>
    </w:p>
  </w:footnote>
  <w:footnote w:id="1">
    <w:p w14:paraId="0EC5D04E" w14:textId="7A551AFB" w:rsidR="002C3907" w:rsidRDefault="00D86FC6">
      <w:pPr>
        <w:pStyle w:val="FootnoteText"/>
      </w:pPr>
      <w:r>
        <w:rPr>
          <w:rStyle w:val="FootnoteReference"/>
        </w:rPr>
        <w:footnoteRef/>
      </w:r>
    </w:p>
    <w:p w14:paraId="4966CEED" w14:textId="21694CED" w:rsidR="00D86FC6" w:rsidRDefault="00D86FC6">
      <w:pPr>
        <w:pStyle w:val="FootnoteText"/>
      </w:pPr>
      <w:r>
        <w:t xml:space="preserve"> </w:t>
      </w:r>
      <w:r>
        <w:rPr>
          <w:rFonts w:eastAsia="Times New Roman"/>
        </w:rPr>
        <w:t xml:space="preserve">Getachew, Y. (2018). </w:t>
      </w:r>
      <w:r>
        <w:rPr>
          <w:rFonts w:eastAsia="Times New Roman"/>
          <w:i/>
          <w:iCs/>
        </w:rPr>
        <w:t>Institutional Voids, Investment Purposes, and Foreign Subsidiaries of Multinational Enterprises</w:t>
      </w:r>
      <w:r>
        <w:rPr>
          <w:rFonts w:eastAsia="Times New Roman"/>
        </w:rPr>
        <w:t xml:space="preserve">. </w:t>
      </w:r>
      <w:hyperlink r:id="rId1" w:history="1">
        <w:r>
          <w:rPr>
            <w:rStyle w:val="Hyperlink"/>
            <w:rFonts w:eastAsia="Times New Roman"/>
          </w:rPr>
          <w:t>https://doi.org/10.46697/001c.16829</w:t>
        </w:r>
      </w:hyperlink>
      <w:r>
        <w:rPr>
          <w:rFonts w:eastAsia="Times New Roman"/>
        </w:rPr>
        <w:t>.</w:t>
      </w:r>
    </w:p>
  </w:footnote>
  <w:footnote w:id="2">
    <w:p w14:paraId="522BEDF8" w14:textId="77777777" w:rsidR="009F2A50" w:rsidRDefault="009F2A50">
      <w:pPr>
        <w:pStyle w:val="FootnoteText"/>
      </w:pPr>
      <w:r>
        <w:rPr>
          <w:rStyle w:val="FootnoteReference"/>
        </w:rPr>
        <w:footnoteRef/>
      </w:r>
      <w:r>
        <w:t xml:space="preserve"> </w:t>
      </w:r>
      <w:r>
        <w:rPr>
          <w:rFonts w:eastAsia="Times New Roman"/>
        </w:rPr>
        <w:t xml:space="preserve">Brundenius, C. (1978). </w:t>
      </w:r>
      <w:r>
        <w:rPr>
          <w:rFonts w:eastAsia="Times New Roman"/>
          <w:i/>
          <w:iCs/>
        </w:rPr>
        <w:t>Foreign Investment and Technology: The Case of Sedish Manufacturing Subsidiaries in Brazil</w:t>
      </w:r>
      <w:r>
        <w:rPr>
          <w:rFonts w:eastAsia="Times New Roman"/>
        </w:rPr>
        <w:t xml:space="preserve">. </w:t>
      </w:r>
      <w:hyperlink r:id="rId2" w:history="1">
        <w:r>
          <w:rPr>
            <w:rStyle w:val="Hyperlink"/>
            <w:rFonts w:eastAsia="Times New Roman"/>
          </w:rPr>
          <w:t>https://doi.org/10.16993/ibero.289</w:t>
        </w:r>
      </w:hyperlink>
      <w:r>
        <w:rPr>
          <w:rFonts w:eastAsia="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7E70"/>
    <w:multiLevelType w:val="hybridMultilevel"/>
    <w:tmpl w:val="FFFFFFFF"/>
    <w:lvl w:ilvl="0" w:tplc="83D62978">
      <w:start w:val="1"/>
      <w:numFmt w:val="bullet"/>
      <w:lvlText w:val=""/>
      <w:lvlJc w:val="left"/>
      <w:pPr>
        <w:ind w:left="720" w:hanging="360"/>
      </w:pPr>
      <w:rPr>
        <w:rFonts w:ascii="Wingdings" w:hAnsi="Wingdings" w:hint="default"/>
      </w:rPr>
    </w:lvl>
    <w:lvl w:ilvl="1" w:tplc="5792F122">
      <w:start w:val="1"/>
      <w:numFmt w:val="bullet"/>
      <w:lvlText w:val=""/>
      <w:lvlJc w:val="left"/>
      <w:pPr>
        <w:ind w:left="1440" w:hanging="360"/>
      </w:pPr>
      <w:rPr>
        <w:rFonts w:ascii="Wingdings" w:hAnsi="Wingdings" w:hint="default"/>
      </w:rPr>
    </w:lvl>
    <w:lvl w:ilvl="2" w:tplc="2A86A0A2">
      <w:start w:val="1"/>
      <w:numFmt w:val="bullet"/>
      <w:lvlText w:val=""/>
      <w:lvlJc w:val="left"/>
      <w:pPr>
        <w:ind w:left="2160" w:hanging="360"/>
      </w:pPr>
      <w:rPr>
        <w:rFonts w:ascii="Wingdings" w:hAnsi="Wingdings" w:hint="default"/>
      </w:rPr>
    </w:lvl>
    <w:lvl w:ilvl="3" w:tplc="19123C4A">
      <w:start w:val="1"/>
      <w:numFmt w:val="bullet"/>
      <w:lvlText w:val=""/>
      <w:lvlJc w:val="left"/>
      <w:pPr>
        <w:ind w:left="2880" w:hanging="360"/>
      </w:pPr>
      <w:rPr>
        <w:rFonts w:ascii="Wingdings" w:hAnsi="Wingdings" w:hint="default"/>
      </w:rPr>
    </w:lvl>
    <w:lvl w:ilvl="4" w:tplc="4DFC4BF4">
      <w:start w:val="1"/>
      <w:numFmt w:val="bullet"/>
      <w:lvlText w:val=""/>
      <w:lvlJc w:val="left"/>
      <w:pPr>
        <w:ind w:left="3600" w:hanging="360"/>
      </w:pPr>
      <w:rPr>
        <w:rFonts w:ascii="Wingdings" w:hAnsi="Wingdings" w:hint="default"/>
      </w:rPr>
    </w:lvl>
    <w:lvl w:ilvl="5" w:tplc="31FAC7CE">
      <w:start w:val="1"/>
      <w:numFmt w:val="bullet"/>
      <w:lvlText w:val=""/>
      <w:lvlJc w:val="left"/>
      <w:pPr>
        <w:ind w:left="4320" w:hanging="360"/>
      </w:pPr>
      <w:rPr>
        <w:rFonts w:ascii="Wingdings" w:hAnsi="Wingdings" w:hint="default"/>
      </w:rPr>
    </w:lvl>
    <w:lvl w:ilvl="6" w:tplc="B82E4D5E">
      <w:start w:val="1"/>
      <w:numFmt w:val="bullet"/>
      <w:lvlText w:val=""/>
      <w:lvlJc w:val="left"/>
      <w:pPr>
        <w:ind w:left="5040" w:hanging="360"/>
      </w:pPr>
      <w:rPr>
        <w:rFonts w:ascii="Wingdings" w:hAnsi="Wingdings" w:hint="default"/>
      </w:rPr>
    </w:lvl>
    <w:lvl w:ilvl="7" w:tplc="9860429A">
      <w:start w:val="1"/>
      <w:numFmt w:val="bullet"/>
      <w:lvlText w:val=""/>
      <w:lvlJc w:val="left"/>
      <w:pPr>
        <w:ind w:left="5760" w:hanging="360"/>
      </w:pPr>
      <w:rPr>
        <w:rFonts w:ascii="Wingdings" w:hAnsi="Wingdings" w:hint="default"/>
      </w:rPr>
    </w:lvl>
    <w:lvl w:ilvl="8" w:tplc="849CC6F4">
      <w:start w:val="1"/>
      <w:numFmt w:val="bullet"/>
      <w:lvlText w:val=""/>
      <w:lvlJc w:val="left"/>
      <w:pPr>
        <w:ind w:left="6480" w:hanging="360"/>
      </w:pPr>
      <w:rPr>
        <w:rFonts w:ascii="Wingdings" w:hAnsi="Wingdings" w:hint="default"/>
      </w:rPr>
    </w:lvl>
  </w:abstractNum>
  <w:num w:numId="1" w16cid:durableId="198157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0180E8"/>
    <w:rsid w:val="000170D5"/>
    <w:rsid w:val="000375EC"/>
    <w:rsid w:val="00055030"/>
    <w:rsid w:val="00056AA5"/>
    <w:rsid w:val="00065CD6"/>
    <w:rsid w:val="00073305"/>
    <w:rsid w:val="000737EF"/>
    <w:rsid w:val="000774FB"/>
    <w:rsid w:val="000C1F73"/>
    <w:rsid w:val="000D5D34"/>
    <w:rsid w:val="00103132"/>
    <w:rsid w:val="00106AEB"/>
    <w:rsid w:val="00114D0F"/>
    <w:rsid w:val="0013517B"/>
    <w:rsid w:val="0016787C"/>
    <w:rsid w:val="001E5F41"/>
    <w:rsid w:val="00205DB0"/>
    <w:rsid w:val="00272FDB"/>
    <w:rsid w:val="002760DE"/>
    <w:rsid w:val="0029664E"/>
    <w:rsid w:val="002A7848"/>
    <w:rsid w:val="002A7AB7"/>
    <w:rsid w:val="002B72C9"/>
    <w:rsid w:val="002C3907"/>
    <w:rsid w:val="002D71D2"/>
    <w:rsid w:val="002E5F33"/>
    <w:rsid w:val="00336ACA"/>
    <w:rsid w:val="00351C22"/>
    <w:rsid w:val="0036030A"/>
    <w:rsid w:val="003651AE"/>
    <w:rsid w:val="003A73C1"/>
    <w:rsid w:val="003C60E8"/>
    <w:rsid w:val="00426D1A"/>
    <w:rsid w:val="00432484"/>
    <w:rsid w:val="00443429"/>
    <w:rsid w:val="00446CD4"/>
    <w:rsid w:val="00465507"/>
    <w:rsid w:val="004F627B"/>
    <w:rsid w:val="004F7EE3"/>
    <w:rsid w:val="00540029"/>
    <w:rsid w:val="00563FE0"/>
    <w:rsid w:val="005C4BD9"/>
    <w:rsid w:val="00601839"/>
    <w:rsid w:val="00604BB8"/>
    <w:rsid w:val="00613C82"/>
    <w:rsid w:val="0062402D"/>
    <w:rsid w:val="006C0C50"/>
    <w:rsid w:val="006C74EE"/>
    <w:rsid w:val="006D5AE5"/>
    <w:rsid w:val="006F4253"/>
    <w:rsid w:val="006F7982"/>
    <w:rsid w:val="00700BBF"/>
    <w:rsid w:val="00711229"/>
    <w:rsid w:val="0073583B"/>
    <w:rsid w:val="00745F5A"/>
    <w:rsid w:val="00746C8A"/>
    <w:rsid w:val="00756DFE"/>
    <w:rsid w:val="00787F67"/>
    <w:rsid w:val="007B7BC0"/>
    <w:rsid w:val="007D16FB"/>
    <w:rsid w:val="007D7EBD"/>
    <w:rsid w:val="007F7B57"/>
    <w:rsid w:val="00802208"/>
    <w:rsid w:val="008068A3"/>
    <w:rsid w:val="0082224F"/>
    <w:rsid w:val="0082423A"/>
    <w:rsid w:val="008417F8"/>
    <w:rsid w:val="0084599E"/>
    <w:rsid w:val="008463E5"/>
    <w:rsid w:val="0086292D"/>
    <w:rsid w:val="008807C3"/>
    <w:rsid w:val="008815A6"/>
    <w:rsid w:val="00885EDB"/>
    <w:rsid w:val="008975C7"/>
    <w:rsid w:val="008C7C01"/>
    <w:rsid w:val="008D447C"/>
    <w:rsid w:val="008E3CF2"/>
    <w:rsid w:val="00912CA2"/>
    <w:rsid w:val="00924577"/>
    <w:rsid w:val="009A6104"/>
    <w:rsid w:val="009B37B1"/>
    <w:rsid w:val="009F0852"/>
    <w:rsid w:val="009F2A50"/>
    <w:rsid w:val="00A00026"/>
    <w:rsid w:val="00A35D15"/>
    <w:rsid w:val="00A417EF"/>
    <w:rsid w:val="00A53E3C"/>
    <w:rsid w:val="00AB0B7D"/>
    <w:rsid w:val="00AB5DA4"/>
    <w:rsid w:val="00AF54D0"/>
    <w:rsid w:val="00B258DA"/>
    <w:rsid w:val="00B31403"/>
    <w:rsid w:val="00B42DDE"/>
    <w:rsid w:val="00B576F1"/>
    <w:rsid w:val="00B70A16"/>
    <w:rsid w:val="00B70A8F"/>
    <w:rsid w:val="00B749F9"/>
    <w:rsid w:val="00B86648"/>
    <w:rsid w:val="00BA04C2"/>
    <w:rsid w:val="00BB14B6"/>
    <w:rsid w:val="00BD4E0F"/>
    <w:rsid w:val="00C03486"/>
    <w:rsid w:val="00C15F85"/>
    <w:rsid w:val="00C24A87"/>
    <w:rsid w:val="00C31E58"/>
    <w:rsid w:val="00C329EF"/>
    <w:rsid w:val="00C4723A"/>
    <w:rsid w:val="00C5764E"/>
    <w:rsid w:val="00C57CE0"/>
    <w:rsid w:val="00C6713A"/>
    <w:rsid w:val="00CC0636"/>
    <w:rsid w:val="00CC1896"/>
    <w:rsid w:val="00CD0EFC"/>
    <w:rsid w:val="00D22522"/>
    <w:rsid w:val="00D86FC6"/>
    <w:rsid w:val="00D97434"/>
    <w:rsid w:val="00E21B7F"/>
    <w:rsid w:val="00E51B20"/>
    <w:rsid w:val="00E64493"/>
    <w:rsid w:val="00ED6D6A"/>
    <w:rsid w:val="00F46EF8"/>
    <w:rsid w:val="00F53C87"/>
    <w:rsid w:val="00F56AFB"/>
    <w:rsid w:val="00F66B8C"/>
    <w:rsid w:val="00FA25E2"/>
    <w:rsid w:val="00FD29F6"/>
    <w:rsid w:val="00FE25CC"/>
    <w:rsid w:val="033B4D6A"/>
    <w:rsid w:val="03C9554E"/>
    <w:rsid w:val="03CE3C68"/>
    <w:rsid w:val="04358843"/>
    <w:rsid w:val="04C2BD8B"/>
    <w:rsid w:val="059A80A4"/>
    <w:rsid w:val="07DEDF37"/>
    <w:rsid w:val="1063BCC2"/>
    <w:rsid w:val="141723C6"/>
    <w:rsid w:val="3B74099D"/>
    <w:rsid w:val="54E6929D"/>
    <w:rsid w:val="56650F74"/>
    <w:rsid w:val="644682EE"/>
    <w:rsid w:val="65318E85"/>
    <w:rsid w:val="6AFECAD6"/>
    <w:rsid w:val="720180E8"/>
    <w:rsid w:val="7EC08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A806"/>
  <w15:chartTrackingRefBased/>
  <w15:docId w15:val="{518C815B-F015-4171-A3CE-7584B253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599E"/>
    <w:pPr>
      <w:spacing w:before="100" w:beforeAutospacing="1" w:after="100" w:afterAutospacing="1" w:line="240" w:lineRule="auto"/>
      <w:outlineLvl w:val="0"/>
    </w:pPr>
    <w:rPr>
      <w:rFonts w:ascii="Times New Roman" w:hAnsi="Times New Roman" w:cs="Times New Roman"/>
      <w:b/>
      <w:bCs/>
      <w:kern w:val="36"/>
      <w:sz w:val="48"/>
      <w:szCs w:val="48"/>
      <w:lang w:eastAsia="en-US"/>
    </w:rPr>
  </w:style>
  <w:style w:type="paragraph" w:styleId="Heading2">
    <w:name w:val="heading 2"/>
    <w:basedOn w:val="Normal"/>
    <w:link w:val="Heading2Char"/>
    <w:uiPriority w:val="9"/>
    <w:qFormat/>
    <w:rsid w:val="0084599E"/>
    <w:pPr>
      <w:spacing w:before="100" w:beforeAutospacing="1" w:after="100" w:afterAutospacing="1" w:line="240" w:lineRule="auto"/>
      <w:outlineLvl w:val="1"/>
    </w:pPr>
    <w:rPr>
      <w:rFonts w:ascii="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99E"/>
    <w:rPr>
      <w:rFonts w:ascii="Times New Roman" w:hAnsi="Times New Roman" w:cs="Times New Roman"/>
      <w:b/>
      <w:bCs/>
      <w:kern w:val="36"/>
      <w:sz w:val="48"/>
      <w:szCs w:val="48"/>
      <w:lang w:eastAsia="en-US"/>
    </w:rPr>
  </w:style>
  <w:style w:type="character" w:customStyle="1" w:styleId="Heading2Char">
    <w:name w:val="Heading 2 Char"/>
    <w:basedOn w:val="DefaultParagraphFont"/>
    <w:link w:val="Heading2"/>
    <w:uiPriority w:val="9"/>
    <w:rsid w:val="0084599E"/>
    <w:rPr>
      <w:rFonts w:ascii="Times New Roman" w:hAnsi="Times New Roman" w:cs="Times New Roman"/>
      <w:b/>
      <w:bCs/>
      <w:sz w:val="36"/>
      <w:szCs w:val="36"/>
      <w:lang w:eastAsia="en-US"/>
    </w:rPr>
  </w:style>
  <w:style w:type="paragraph" w:styleId="NormalWeb">
    <w:name w:val="Normal (Web)"/>
    <w:basedOn w:val="Normal"/>
    <w:uiPriority w:val="99"/>
    <w:semiHidden/>
    <w:unhideWhenUsed/>
    <w:rsid w:val="0084599E"/>
    <w:pPr>
      <w:spacing w:before="100" w:beforeAutospacing="1" w:after="100" w:afterAutospacing="1" w:line="240" w:lineRule="auto"/>
    </w:pPr>
    <w:rPr>
      <w:rFonts w:ascii="Times New Roman" w:hAnsi="Times New Roman" w:cs="Times New Roman"/>
      <w:lang w:eastAsia="en-US"/>
    </w:rPr>
  </w:style>
  <w:style w:type="paragraph" w:styleId="FootnoteText">
    <w:name w:val="footnote text"/>
    <w:basedOn w:val="Normal"/>
    <w:link w:val="FootnoteTextChar"/>
    <w:uiPriority w:val="99"/>
    <w:semiHidden/>
    <w:unhideWhenUsed/>
    <w:rsid w:val="009F2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A50"/>
    <w:rPr>
      <w:sz w:val="20"/>
      <w:szCs w:val="20"/>
    </w:rPr>
  </w:style>
  <w:style w:type="character" w:styleId="FootnoteReference">
    <w:name w:val="footnote reference"/>
    <w:basedOn w:val="DefaultParagraphFont"/>
    <w:uiPriority w:val="99"/>
    <w:semiHidden/>
    <w:unhideWhenUsed/>
    <w:rsid w:val="009F2A50"/>
    <w:rPr>
      <w:vertAlign w:val="superscript"/>
    </w:rPr>
  </w:style>
  <w:style w:type="character" w:styleId="Hyperlink">
    <w:name w:val="Hyperlink"/>
    <w:basedOn w:val="DefaultParagraphFont"/>
    <w:uiPriority w:val="99"/>
    <w:unhideWhenUsed/>
    <w:rsid w:val="009F2A50"/>
    <w:rPr>
      <w:color w:val="0000FF"/>
      <w:u w:val="single"/>
    </w:rPr>
  </w:style>
  <w:style w:type="paragraph" w:styleId="Header">
    <w:name w:val="header"/>
    <w:basedOn w:val="Normal"/>
    <w:link w:val="HeaderChar"/>
    <w:uiPriority w:val="99"/>
    <w:semiHidden/>
    <w:unhideWhenUsed/>
    <w:rsid w:val="00D86F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FC6"/>
  </w:style>
  <w:style w:type="paragraph" w:styleId="Footer">
    <w:name w:val="footer"/>
    <w:basedOn w:val="Normal"/>
    <w:link w:val="FooterChar"/>
    <w:uiPriority w:val="99"/>
    <w:semiHidden/>
    <w:unhideWhenUsed/>
    <w:rsid w:val="00D86F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FC6"/>
  </w:style>
  <w:style w:type="character" w:styleId="IntenseReference">
    <w:name w:val="Intense Reference"/>
    <w:basedOn w:val="DefaultParagraphFont"/>
    <w:uiPriority w:val="32"/>
    <w:qFormat/>
    <w:rsid w:val="00C4723A"/>
    <w:rPr>
      <w:b/>
      <w:bCs/>
      <w:smallCaps/>
      <w:color w:val="156082" w:themeColor="accent1"/>
      <w:spacing w:val="5"/>
    </w:rPr>
  </w:style>
  <w:style w:type="character" w:styleId="UnresolvedMention">
    <w:name w:val="Unresolved Mention"/>
    <w:basedOn w:val="DefaultParagraphFont"/>
    <w:uiPriority w:val="99"/>
    <w:semiHidden/>
    <w:unhideWhenUsed/>
    <w:rsid w:val="00BD4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jcmlholding.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doi.org/10.16993/ibero.289" TargetMode="External"/><Relationship Id="rId1" Type="http://schemas.openxmlformats.org/officeDocument/2006/relationships/hyperlink" Target="https://doi.org/10.46697/001c.16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1162</Words>
  <Characters>6626</Characters>
  <Application>Microsoft Office Word</Application>
  <DocSecurity>4</DocSecurity>
  <Lines>55</Lines>
  <Paragraphs>15</Paragraphs>
  <ScaleCrop>false</ScaleCrop>
  <Company/>
  <LinksUpToDate>false</LinksUpToDate>
  <CharactersWithSpaces>7773</CharactersWithSpaces>
  <SharedDoc>false</SharedDoc>
  <HLinks>
    <vt:vector size="18" baseType="variant">
      <vt:variant>
        <vt:i4>6750289</vt:i4>
      </vt:variant>
      <vt:variant>
        <vt:i4>0</vt:i4>
      </vt:variant>
      <vt:variant>
        <vt:i4>0</vt:i4>
      </vt:variant>
      <vt:variant>
        <vt:i4>5</vt:i4>
      </vt:variant>
      <vt:variant>
        <vt:lpwstr>mailto:matthew@jcmlholding.com</vt:lpwstr>
      </vt:variant>
      <vt:variant>
        <vt:lpwstr/>
      </vt:variant>
      <vt:variant>
        <vt:i4>7209084</vt:i4>
      </vt:variant>
      <vt:variant>
        <vt:i4>3</vt:i4>
      </vt:variant>
      <vt:variant>
        <vt:i4>0</vt:i4>
      </vt:variant>
      <vt:variant>
        <vt:i4>5</vt:i4>
      </vt:variant>
      <vt:variant>
        <vt:lpwstr>https://doi.org/10.16993/ibero.289</vt:lpwstr>
      </vt:variant>
      <vt:variant>
        <vt:lpwstr/>
      </vt:variant>
      <vt:variant>
        <vt:i4>2293792</vt:i4>
      </vt:variant>
      <vt:variant>
        <vt:i4>0</vt:i4>
      </vt:variant>
      <vt:variant>
        <vt:i4>0</vt:i4>
      </vt:variant>
      <vt:variant>
        <vt:i4>5</vt:i4>
      </vt:variant>
      <vt:variant>
        <vt:lpwstr>https://doi.org/10.46697/001c.16829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Lindsey</dc:creator>
  <cp:keywords/>
  <dc:description/>
  <cp:lastModifiedBy>Matthew Lindsey</cp:lastModifiedBy>
  <cp:revision>82</cp:revision>
  <dcterms:created xsi:type="dcterms:W3CDTF">2026-01-20T16:02:00Z</dcterms:created>
  <dcterms:modified xsi:type="dcterms:W3CDTF">2026-01-20T14:08:00Z</dcterms:modified>
</cp:coreProperties>
</file>